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26" w:rsidRPr="00AB5E0C" w:rsidRDefault="00135726" w:rsidP="0013572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</w:t>
      </w:r>
      <w:r w:rsidRPr="00AB5E0C">
        <w:rPr>
          <w:rFonts w:ascii="Times New Roman" w:hAnsi="Times New Roman"/>
        </w:rPr>
        <w:t xml:space="preserve"> </w:t>
      </w:r>
    </w:p>
    <w:p w:rsidR="00135726" w:rsidRPr="00AB5E0C" w:rsidRDefault="00135726" w:rsidP="0013572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к распоряжению администрации</w:t>
      </w:r>
      <w:r w:rsidR="00970911">
        <w:rPr>
          <w:rFonts w:ascii="Times New Roman" w:hAnsi="Times New Roman"/>
        </w:rPr>
        <w:t xml:space="preserve"> Тройняннского </w:t>
      </w:r>
      <w:r w:rsidRPr="00AB5E0C">
        <w:rPr>
          <w:rFonts w:ascii="Times New Roman" w:hAnsi="Times New Roman"/>
        </w:rPr>
        <w:t xml:space="preserve"> сельск</w:t>
      </w:r>
      <w:r w:rsidRPr="00AB5E0C">
        <w:rPr>
          <w:rFonts w:ascii="Times New Roman" w:hAnsi="Times New Roman"/>
        </w:rPr>
        <w:t>о</w:t>
      </w:r>
      <w:r w:rsidRPr="00AB5E0C">
        <w:rPr>
          <w:rFonts w:ascii="Times New Roman" w:hAnsi="Times New Roman"/>
        </w:rPr>
        <w:t xml:space="preserve">го поселения Бобровского муниципального района </w:t>
      </w:r>
    </w:p>
    <w:p w:rsidR="00135726" w:rsidRPr="00AB5E0C" w:rsidRDefault="00135726" w:rsidP="0013572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 w:rsidR="00970911">
        <w:rPr>
          <w:rFonts w:ascii="Times New Roman" w:hAnsi="Times New Roman"/>
        </w:rPr>
        <w:t>09</w:t>
      </w:r>
      <w:r w:rsidRPr="00AB5E0C">
        <w:rPr>
          <w:rFonts w:ascii="Times New Roman" w:hAnsi="Times New Roman"/>
        </w:rPr>
        <w:t>.</w:t>
      </w:r>
      <w:r w:rsidR="00970911">
        <w:rPr>
          <w:rFonts w:ascii="Times New Roman" w:hAnsi="Times New Roman"/>
        </w:rPr>
        <w:t>01.2017</w:t>
      </w:r>
      <w:r w:rsidRPr="00AB5E0C">
        <w:rPr>
          <w:rFonts w:ascii="Times New Roman" w:hAnsi="Times New Roman"/>
        </w:rPr>
        <w:t xml:space="preserve">  г. № </w:t>
      </w:r>
      <w:r w:rsidR="00970911">
        <w:rPr>
          <w:rFonts w:ascii="Times New Roman" w:hAnsi="Times New Roman"/>
        </w:rPr>
        <w:t>4</w:t>
      </w:r>
      <w:r w:rsidRPr="00AB5E0C">
        <w:rPr>
          <w:rFonts w:ascii="Times New Roman" w:hAnsi="Times New Roman"/>
        </w:rPr>
        <w:t>-р</w:t>
      </w:r>
    </w:p>
    <w:p w:rsidR="00135726" w:rsidRDefault="0013572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E658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BB0DA3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13572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BB0DA3" w:rsidRDefault="0013572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</w:t>
            </w:r>
            <w:r w:rsidR="00970911">
              <w:rPr>
                <w:rFonts w:ascii="Times New Roman" w:hAnsi="Times New Roman" w:cs="Times New Roman"/>
              </w:rPr>
              <w:t>838593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13572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BB0DA3" w:rsidRDefault="00135726" w:rsidP="00970911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r w:rsidR="00970911">
              <w:rPr>
                <w:rFonts w:ascii="Times New Roman" w:hAnsi="Times New Roman" w:cs="Times New Roman"/>
              </w:rPr>
              <w:t xml:space="preserve">Тройнянского </w:t>
            </w:r>
            <w:r w:rsidRPr="00AB5E0C">
              <w:rPr>
                <w:rFonts w:ascii="Times New Roman" w:hAnsi="Times New Roman" w:cs="Times New Roman"/>
              </w:rPr>
              <w:t xml:space="preserve">сельского поселения от </w:t>
            </w:r>
            <w:r w:rsidR="00970911">
              <w:rPr>
                <w:rFonts w:ascii="Times New Roman" w:hAnsi="Times New Roman" w:cs="Times New Roman"/>
              </w:rPr>
              <w:t>25.12</w:t>
            </w:r>
            <w:r w:rsidRPr="00AB5E0C">
              <w:rPr>
                <w:rFonts w:ascii="Times New Roman" w:hAnsi="Times New Roman" w:cs="Times New Roman"/>
              </w:rPr>
              <w:t xml:space="preserve">.2015 г. № </w:t>
            </w:r>
            <w:r w:rsidR="0097091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E0C">
              <w:rPr>
                <w:rFonts w:ascii="Times New Roman" w:hAnsi="Times New Roman" w:cs="Times New Roman"/>
              </w:rPr>
              <w:t xml:space="preserve">«Об утверждении административного регламента </w:t>
            </w:r>
            <w:r w:rsidRPr="00135726">
              <w:rPr>
                <w:rStyle w:val="af4"/>
                <w:rFonts w:ascii="Times New Roman" w:hAnsi="Times New Roman" w:cs="Times New Roman"/>
                <w:b w:val="0"/>
                <w:iCs/>
              </w:rPr>
              <w:t xml:space="preserve">администрации </w:t>
            </w:r>
            <w:r w:rsidR="00970911">
              <w:rPr>
                <w:rStyle w:val="af4"/>
                <w:rFonts w:ascii="Times New Roman" w:hAnsi="Times New Roman" w:cs="Times New Roman"/>
                <w:b w:val="0"/>
                <w:iCs/>
              </w:rPr>
              <w:t>Тро</w:t>
            </w:r>
            <w:r w:rsidR="00970911">
              <w:rPr>
                <w:rStyle w:val="af4"/>
                <w:rFonts w:ascii="Times New Roman" w:hAnsi="Times New Roman" w:cs="Times New Roman"/>
                <w:b w:val="0"/>
                <w:iCs/>
              </w:rPr>
              <w:t>й</w:t>
            </w:r>
            <w:r w:rsidR="00970911">
              <w:rPr>
                <w:rStyle w:val="af4"/>
                <w:rFonts w:ascii="Times New Roman" w:hAnsi="Times New Roman" w:cs="Times New Roman"/>
                <w:b w:val="0"/>
                <w:iCs/>
              </w:rPr>
              <w:t xml:space="preserve">нянского </w:t>
            </w:r>
            <w:r w:rsidRPr="00135726">
              <w:rPr>
                <w:rStyle w:val="af4"/>
                <w:rFonts w:ascii="Times New Roman" w:hAnsi="Times New Roman" w:cs="Times New Roman"/>
                <w:b w:val="0"/>
                <w:iCs/>
              </w:rPr>
              <w:t>сельского  поселения   Бобровского муниципального района Воронежской обла</w:t>
            </w:r>
            <w:r w:rsidRPr="00135726">
              <w:rPr>
                <w:rStyle w:val="af4"/>
                <w:rFonts w:ascii="Times New Roman" w:hAnsi="Times New Roman" w:cs="Times New Roman"/>
                <w:b w:val="0"/>
                <w:iCs/>
              </w:rPr>
              <w:t>с</w:t>
            </w:r>
            <w:r w:rsidRPr="00135726">
              <w:rPr>
                <w:rStyle w:val="af4"/>
                <w:rFonts w:ascii="Times New Roman" w:hAnsi="Times New Roman" w:cs="Times New Roman"/>
                <w:b w:val="0"/>
                <w:iCs/>
              </w:rPr>
              <w:t>ти по пр</w:t>
            </w:r>
            <w:r w:rsidRPr="00135726">
              <w:rPr>
                <w:rStyle w:val="af4"/>
                <w:rFonts w:ascii="Times New Roman" w:hAnsi="Times New Roman" w:cs="Times New Roman"/>
                <w:b w:val="0"/>
                <w:iCs/>
              </w:rPr>
              <w:t>е</w:t>
            </w:r>
            <w:r w:rsidRPr="00135726">
              <w:rPr>
                <w:rStyle w:val="af4"/>
                <w:rFonts w:ascii="Times New Roman" w:hAnsi="Times New Roman" w:cs="Times New Roman"/>
                <w:b w:val="0"/>
                <w:iCs/>
              </w:rPr>
              <w:t>доставлению муниципальной услуги</w:t>
            </w:r>
            <w:r w:rsidRPr="00AB5E0C">
              <w:rPr>
                <w:rStyle w:val="af4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135726">
              <w:rPr>
                <w:rFonts w:ascii="Times New Roman" w:hAnsi="Times New Roman" w:cs="Times New Roman"/>
              </w:rPr>
              <w:t>Выдача разрешений на право организации розничного ры</w:t>
            </w:r>
            <w:r w:rsidRPr="00135726">
              <w:rPr>
                <w:rFonts w:ascii="Times New Roman" w:hAnsi="Times New Roman" w:cs="Times New Roman"/>
              </w:rPr>
              <w:t>н</w:t>
            </w:r>
            <w:r w:rsidRPr="00135726">
              <w:rPr>
                <w:rFonts w:ascii="Times New Roman" w:hAnsi="Times New Roman" w:cs="Times New Roman"/>
              </w:rPr>
              <w:t>ка</w:t>
            </w:r>
            <w:r w:rsidRPr="00135726">
              <w:rPr>
                <w:rFonts w:ascii="Times New Roman" w:hAnsi="Times New Roman" w:cs="Times New Roman"/>
                <w:bCs/>
              </w:rPr>
              <w:t>»</w:t>
            </w:r>
            <w:r w:rsidRPr="00135726">
              <w:rPr>
                <w:rFonts w:ascii="Times New Roman" w:hAnsi="Times New Roman" w:cs="Times New Roman"/>
              </w:rPr>
              <w:t>»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13572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BB0DA3" w:rsidRDefault="00135726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135726" w:rsidRDefault="002F25A2" w:rsidP="00135726">
      <w:pPr>
        <w:rPr>
          <w:rFonts w:ascii="Times New Roman" w:eastAsiaTheme="majorEastAsia" w:hAnsi="Times New Roman" w:cs="Times New Roman"/>
          <w:b/>
          <w:bCs/>
        </w:rPr>
      </w:pPr>
      <w:r w:rsidRPr="00135726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кален.дн.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кален.дн.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 от 04.05.2007 № 380 «Об утверждении плана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 xml:space="preserve">ка, который предполагается </w:t>
            </w:r>
            <w:r w:rsidRPr="00BB0DA3">
              <w:rPr>
                <w:rFonts w:ascii="Times New Roman" w:hAnsi="Times New Roman" w:cs="Times New Roman"/>
              </w:rPr>
              <w:lastRenderedPageBreak/>
              <w:t>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4E7CAF" w:rsidRPr="00135726" w:rsidRDefault="008A60E5" w:rsidP="00135726">
      <w:pPr>
        <w:rPr>
          <w:rFonts w:ascii="Times New Roman" w:hAnsi="Times New Roman" w:cs="Times New Roman"/>
          <w:b/>
        </w:rPr>
      </w:pPr>
      <w:r w:rsidRPr="00135726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вителя соответс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ждающему прав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дического лица </w:t>
            </w:r>
            <w:r w:rsidRPr="00BB0DA3">
              <w:rPr>
                <w:rFonts w:ascii="Times New Roman" w:hAnsi="Times New Roman" w:cs="Times New Roman"/>
              </w:rPr>
              <w:lastRenderedPageBreak/>
              <w:t>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lastRenderedPageBreak/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вующее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 xml:space="preserve">ленным требованиям, в том числе Положения о паспорте гражданина РФ.  </w:t>
            </w:r>
            <w:r w:rsidRPr="00BB0DA3">
              <w:rPr>
                <w:rFonts w:ascii="Times New Roman" w:hAnsi="Times New Roman" w:cs="Times New Roman"/>
              </w:rPr>
              <w:lastRenderedPageBreak/>
              <w:t>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«поду</w:t>
            </w:r>
            <w:r w:rsidR="002479DC" w:rsidRPr="00BB0DA3">
              <w:rPr>
                <w:rFonts w:ascii="Times New Roman" w:hAnsi="Times New Roman" w:cs="Times New Roman"/>
                <w:b/>
              </w:rPr>
              <w:t>с</w:t>
            </w:r>
            <w:r w:rsidR="002479DC"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135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дании юридического лица и данные документа,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тверждающего факт вн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сения сведений о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ческом лице в единый государственный реестр юридических лиц;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ка и данные документа о постановке юридического </w:t>
            </w:r>
            <w:r w:rsidRPr="00BB0DA3">
              <w:rPr>
                <w:rFonts w:ascii="Times New Roman" w:hAnsi="Times New Roman" w:cs="Times New Roman"/>
              </w:rPr>
              <w:lastRenderedPageBreak/>
              <w:t>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щие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-устав юридического лица, -свидетельство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ливающие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(ые)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135726" w:rsidRDefault="00DF72FE" w:rsidP="00135726">
      <w:pPr>
        <w:spacing w:after="0"/>
        <w:rPr>
          <w:rFonts w:ascii="Times New Roman" w:hAnsi="Times New Roman" w:cs="Times New Roman"/>
          <w:b/>
        </w:rPr>
      </w:pPr>
      <w:r w:rsidRPr="00135726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</w:t>
      </w:r>
      <w:r w:rsidRPr="00135726">
        <w:rPr>
          <w:rFonts w:ascii="Times New Roman" w:hAnsi="Times New Roman" w:cs="Times New Roman"/>
          <w:b/>
        </w:rPr>
        <w:t>И</w:t>
      </w:r>
      <w:r w:rsidRPr="00135726">
        <w:rPr>
          <w:rFonts w:ascii="Times New Roman" w:hAnsi="Times New Roman" w:cs="Times New Roman"/>
          <w:b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135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Pr="00BB0DA3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(ой)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1357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BB0DA3" w:rsidRDefault="00D31907" w:rsidP="001357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BB0DA3" w:rsidRDefault="00D31907" w:rsidP="001357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135726" w:rsidRDefault="00DF72FE" w:rsidP="00135726">
      <w:pPr>
        <w:spacing w:after="0"/>
        <w:rPr>
          <w:rFonts w:ascii="Times New Roman" w:hAnsi="Times New Roman" w:cs="Times New Roman"/>
          <w:b/>
        </w:rPr>
      </w:pPr>
      <w:r w:rsidRPr="00135726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135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135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1357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1357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1357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</w:t>
            </w:r>
            <w:r w:rsidRPr="00BB0DA3">
              <w:t>е</w:t>
            </w:r>
            <w:r w:rsidRPr="00BB0DA3">
              <w:t>доставлении (продл</w:t>
            </w:r>
            <w:r w:rsidRPr="00BB0DA3">
              <w:t>е</w:t>
            </w:r>
            <w:r w:rsidRPr="00BB0DA3">
              <w:t>нии, переоформлении) разрешения на право организации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085E8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разрешение на право организации розничного 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lastRenderedPageBreak/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35726" w:rsidRDefault="00DF72FE" w:rsidP="00135726">
      <w:pPr>
        <w:rPr>
          <w:rFonts w:ascii="Times New Roman" w:hAnsi="Times New Roman" w:cs="Times New Roman"/>
          <w:b/>
        </w:rPr>
      </w:pPr>
      <w:r w:rsidRPr="00135726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135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BB0DA3" w:rsidRDefault="00A83585" w:rsidP="00135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дующим требованиям: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lastRenderedPageBreak/>
              <w:t>менты в установленных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случаях нотар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регистрированное заявление передается с сопроводительным </w:t>
            </w:r>
            <w:r w:rsidRPr="00BB0DA3">
              <w:rPr>
                <w:rFonts w:ascii="Times New Roman" w:hAnsi="Times New Roman" w:cs="Times New Roman"/>
              </w:rPr>
              <w:lastRenderedPageBreak/>
              <w:t>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Pr="00BB0DA3">
              <w:rPr>
                <w:rFonts w:ascii="Times New Roman" w:hAnsi="Times New Roman" w:cs="Times New Roman"/>
                <w:b/>
              </w:rPr>
              <w:t>: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="00494012" w:rsidRPr="00BB0DA3">
              <w:rPr>
                <w:rFonts w:ascii="Times New Roman" w:hAnsi="Times New Roman" w:cs="Times New Roman"/>
                <w:b/>
              </w:rPr>
              <w:t>е</w:t>
            </w:r>
            <w:r w:rsidR="00494012" w:rsidRPr="00BB0DA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- 13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рассмо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венного взаимодейс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не позднее дня, следующего за днем принятия постановления готовит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об 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ции розничного </w:t>
            </w:r>
            <w:r w:rsidRPr="00BB0DA3">
              <w:rPr>
                <w:rFonts w:ascii="Times New Roman" w:hAnsi="Times New Roman" w:cs="Times New Roman"/>
              </w:rPr>
              <w:lastRenderedPageBreak/>
              <w:t>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принятие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lastRenderedPageBreak/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При поступлении в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непосредс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 по месту подачи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135726" w:rsidRDefault="00210933" w:rsidP="00135726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  <w:r w:rsidR="00DF72FE" w:rsidRPr="00BB0DA3">
        <w:rPr>
          <w:rFonts w:ascii="Times New Roman" w:hAnsi="Times New Roman" w:cs="Times New Roman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(функций) -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728F6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(полное и сокращенное (если имеется) наименование,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организационно-правовая форма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(государственный регистрационный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документа, подтверждающего факт внесения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 о постановке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>организации _______________________________________________ рынка в нежилом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r w:rsidRPr="0008322D">
        <w:t>помещении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>инвентаризационный номер ________________________________, расположенном на</w:t>
      </w:r>
    </w:p>
    <w:p w:rsidR="002479DC" w:rsidRPr="0008322D" w:rsidRDefault="002479DC" w:rsidP="002479DC">
      <w:pPr>
        <w:pStyle w:val="ConsPlusNonformat"/>
      </w:pPr>
      <w:r w:rsidRPr="0008322D">
        <w:t>земельном участке, кадастровый номер: _________________________________, по</w:t>
      </w:r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(место расположения объекта или объектов, где предполагается организовать</w:t>
      </w:r>
    </w:p>
    <w:p w:rsidR="002479DC" w:rsidRPr="0008322D" w:rsidRDefault="002479DC" w:rsidP="002479DC">
      <w:pPr>
        <w:pStyle w:val="ConsPlusNonformat"/>
      </w:pPr>
      <w:r w:rsidRPr="0008322D">
        <w:t xml:space="preserve">  рынок:__________________________________________________________________)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количестве ____________________________ экземпляров по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имущес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во и сделок с ним о зарегистрированных правах на объект (объекты) недвижим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сти, расположенные на территории, в пределах которой предполагается организ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(полное и (если имеется) сокращенное наименования, в том числе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представленных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</w:t>
      </w:r>
      <w:r w:rsidRPr="0008322D">
        <w:t>с</w:t>
      </w:r>
      <w:r w:rsidRPr="0008322D">
        <w:t>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представленные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09" w:rsidRDefault="006F6209" w:rsidP="00D328E5">
      <w:pPr>
        <w:spacing w:after="0" w:line="240" w:lineRule="auto"/>
      </w:pPr>
      <w:r>
        <w:separator/>
      </w:r>
    </w:p>
  </w:endnote>
  <w:endnote w:type="continuationSeparator" w:id="0">
    <w:p w:rsidR="006F6209" w:rsidRDefault="006F620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09" w:rsidRDefault="006F6209" w:rsidP="00D328E5">
      <w:pPr>
        <w:spacing w:after="0" w:line="240" w:lineRule="auto"/>
      </w:pPr>
      <w:r>
        <w:separator/>
      </w:r>
    </w:p>
  </w:footnote>
  <w:footnote w:type="continuationSeparator" w:id="0">
    <w:p w:rsidR="006F6209" w:rsidRDefault="006F6209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35726"/>
    <w:rsid w:val="00140DDB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50E1"/>
    <w:rsid w:val="004938FE"/>
    <w:rsid w:val="00494012"/>
    <w:rsid w:val="004D077D"/>
    <w:rsid w:val="004E5000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6F6209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70911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A194D"/>
    <w:rsid w:val="00BA1F97"/>
    <w:rsid w:val="00BB0DA3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3F36"/>
    <w:rsid w:val="00C95E22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62F0A"/>
    <w:rsid w:val="00D91955"/>
    <w:rsid w:val="00DC4552"/>
    <w:rsid w:val="00DF71B7"/>
    <w:rsid w:val="00DF72FE"/>
    <w:rsid w:val="00E00E3D"/>
    <w:rsid w:val="00E0630F"/>
    <w:rsid w:val="00E115FD"/>
    <w:rsid w:val="00E329C6"/>
    <w:rsid w:val="00E32C31"/>
    <w:rsid w:val="00E3767E"/>
    <w:rsid w:val="00E57E28"/>
    <w:rsid w:val="00E60CCD"/>
    <w:rsid w:val="00E6585D"/>
    <w:rsid w:val="00E715B0"/>
    <w:rsid w:val="00E728F6"/>
    <w:rsid w:val="00E74124"/>
    <w:rsid w:val="00E752C6"/>
    <w:rsid w:val="00E85938"/>
    <w:rsid w:val="00EB68A9"/>
    <w:rsid w:val="00EC062C"/>
    <w:rsid w:val="00ED7A6F"/>
    <w:rsid w:val="00EF7145"/>
    <w:rsid w:val="00F33C30"/>
    <w:rsid w:val="00F35B15"/>
    <w:rsid w:val="00FB67BA"/>
    <w:rsid w:val="00FD1C04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1357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7283-D874-4946-9507-9E39CA2A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26</cp:revision>
  <cp:lastPrinted>2017-01-08T09:22:00Z</cp:lastPrinted>
  <dcterms:created xsi:type="dcterms:W3CDTF">2015-09-01T14:06:00Z</dcterms:created>
  <dcterms:modified xsi:type="dcterms:W3CDTF">2017-01-08T09:23:00Z</dcterms:modified>
</cp:coreProperties>
</file>