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DA" w:rsidRPr="006236DA" w:rsidRDefault="006236DA" w:rsidP="006236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6236DA" w:rsidRPr="00AF66E3" w:rsidRDefault="006236DA" w:rsidP="00623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ТИПОВАЯ ТЕХНОЛОГИЧЕСКАЯ СХЕМА</w:t>
      </w:r>
    </w:p>
    <w:p w:rsidR="006236DA" w:rsidRDefault="006236DA" w:rsidP="00623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6236DA" w:rsidRPr="00AF66E3" w:rsidRDefault="006236DA" w:rsidP="00623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36DA" w:rsidRDefault="006236DA" w:rsidP="006236D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236DA" w:rsidRPr="006236DA" w:rsidRDefault="006236DA" w:rsidP="006236DA"/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6236DA" w:rsidRPr="00AF66E3" w:rsidTr="006236DA">
        <w:tc>
          <w:tcPr>
            <w:tcW w:w="959" w:type="dxa"/>
            <w:vAlign w:val="center"/>
          </w:tcPr>
          <w:p w:rsidR="006236DA" w:rsidRPr="006236DA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6236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  <w:vAlign w:val="center"/>
          </w:tcPr>
          <w:p w:rsidR="006236DA" w:rsidRPr="006236DA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6236DA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6236DA" w:rsidRPr="006236DA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6236DA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6236DA" w:rsidRPr="00AF66E3" w:rsidTr="006236DA">
        <w:tc>
          <w:tcPr>
            <w:tcW w:w="959" w:type="dxa"/>
            <w:vAlign w:val="center"/>
          </w:tcPr>
          <w:p w:rsidR="006236DA" w:rsidRPr="006236DA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623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vAlign w:val="center"/>
          </w:tcPr>
          <w:p w:rsidR="006236DA" w:rsidRPr="006236DA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623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6236DA" w:rsidRPr="006236DA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6236DA">
              <w:rPr>
                <w:rFonts w:ascii="Times New Roman" w:hAnsi="Times New Roman" w:cs="Times New Roman"/>
              </w:rPr>
              <w:t>3</w:t>
            </w:r>
          </w:p>
        </w:tc>
      </w:tr>
      <w:tr w:rsidR="006236DA" w:rsidRPr="00AF66E3" w:rsidTr="006236DA">
        <w:tc>
          <w:tcPr>
            <w:tcW w:w="9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236DA" w:rsidRPr="00AF66E3" w:rsidRDefault="006236DA" w:rsidP="00C1045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</w:t>
            </w:r>
            <w:r w:rsidR="00C1045E">
              <w:rPr>
                <w:rFonts w:ascii="Times New Roman" w:hAnsi="Times New Roman" w:cs="Times New Roman"/>
              </w:rPr>
              <w:t xml:space="preserve">Тройнянского </w:t>
            </w:r>
            <w:r>
              <w:rPr>
                <w:rFonts w:ascii="Times New Roman" w:hAnsi="Times New Roman" w:cs="Times New Roman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6236DA" w:rsidRPr="00AF66E3" w:rsidTr="006236DA">
        <w:tc>
          <w:tcPr>
            <w:tcW w:w="9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6236DA" w:rsidRPr="006236DA" w:rsidRDefault="006236DA" w:rsidP="0062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364010001000083</w:t>
            </w:r>
            <w:r w:rsidR="00C1045E">
              <w:rPr>
                <w:rFonts w:ascii="Times New Roman" w:hAnsi="Times New Roman" w:cs="Times New Roman"/>
                <w:sz w:val="20"/>
                <w:szCs w:val="20"/>
              </w:rPr>
              <w:t>8864</w:t>
            </w:r>
          </w:p>
        </w:tc>
      </w:tr>
      <w:tr w:rsidR="006236DA" w:rsidRPr="00AF66E3" w:rsidTr="006236DA">
        <w:tc>
          <w:tcPr>
            <w:tcW w:w="9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6236DA" w:rsidRPr="00AF66E3" w:rsidRDefault="006236DA" w:rsidP="006236DA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c>
          <w:tcPr>
            <w:tcW w:w="9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236DA" w:rsidRPr="00AF66E3" w:rsidRDefault="006236DA" w:rsidP="006236DA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c>
          <w:tcPr>
            <w:tcW w:w="9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236DA" w:rsidRPr="00AF66E3" w:rsidRDefault="006236DA" w:rsidP="00C1045E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C1045E">
              <w:rPr>
                <w:rFonts w:ascii="Times New Roman" w:hAnsi="Times New Roman" w:cs="Times New Roman"/>
              </w:rPr>
              <w:t xml:space="preserve">Тройнянского </w:t>
            </w:r>
            <w:r>
              <w:rPr>
                <w:rFonts w:ascii="Times New Roman" w:hAnsi="Times New Roman" w:cs="Times New Roman"/>
              </w:rPr>
              <w:t xml:space="preserve"> сельского поселения Бобровского муниципального</w:t>
            </w:r>
            <w:r w:rsidR="00C1045E">
              <w:rPr>
                <w:rFonts w:ascii="Times New Roman" w:hAnsi="Times New Roman" w:cs="Times New Roman"/>
              </w:rPr>
              <w:t xml:space="preserve"> района Воронежской области от 23</w:t>
            </w:r>
            <w:r>
              <w:rPr>
                <w:rFonts w:ascii="Times New Roman" w:hAnsi="Times New Roman" w:cs="Times New Roman"/>
              </w:rPr>
              <w:t xml:space="preserve">.09.2016 № </w:t>
            </w:r>
            <w:r w:rsidR="00C1045E">
              <w:rPr>
                <w:rFonts w:ascii="Times New Roman" w:hAnsi="Times New Roman" w:cs="Times New Roman"/>
              </w:rPr>
              <w:t>67</w:t>
            </w:r>
          </w:p>
        </w:tc>
      </w:tr>
      <w:tr w:rsidR="006236DA" w:rsidRPr="00AF66E3" w:rsidTr="006236DA">
        <w:tc>
          <w:tcPr>
            <w:tcW w:w="9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  Признание помещения жилым помещением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  Признание жилого помещения непригодным для проживания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 Признание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c>
          <w:tcPr>
            <w:tcW w:w="9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236DA" w:rsidRPr="00AF66E3" w:rsidRDefault="006236DA" w:rsidP="006236DA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6236DA" w:rsidRPr="00AF66E3" w:rsidRDefault="006236DA" w:rsidP="006236D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6236DA" w:rsidRPr="00AF66E3" w:rsidTr="006236DA">
        <w:tc>
          <w:tcPr>
            <w:tcW w:w="3226" w:type="dxa"/>
            <w:gridSpan w:val="2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Основания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993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4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получения результата «подуслуги»</w:t>
            </w:r>
          </w:p>
        </w:tc>
      </w:tr>
      <w:tr w:rsidR="006236DA" w:rsidRPr="00AF66E3" w:rsidTr="006236DA">
        <w:tc>
          <w:tcPr>
            <w:tcW w:w="1667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При подаче заявления не по месту жительства (месту обращения)</w:t>
            </w:r>
          </w:p>
        </w:tc>
        <w:tc>
          <w:tcPr>
            <w:tcW w:w="1559" w:type="dxa"/>
            <w:vMerge/>
          </w:tcPr>
          <w:p w:rsidR="006236DA" w:rsidRPr="00A9670E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236DA" w:rsidRPr="00A9670E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36DA" w:rsidRPr="00A9670E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236DA" w:rsidRPr="00A9670E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  <w:gridSpan w:val="2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6236DA" w:rsidRPr="00A9670E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236DA" w:rsidRPr="00A9670E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667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11</w:t>
            </w:r>
          </w:p>
        </w:tc>
      </w:tr>
      <w:tr w:rsidR="006236DA" w:rsidRPr="00AF66E3" w:rsidTr="006236DA">
        <w:tc>
          <w:tcPr>
            <w:tcW w:w="14850" w:type="dxa"/>
            <w:gridSpan w:val="1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6236DA" w:rsidRPr="00AF66E3" w:rsidTr="006236DA">
        <w:tc>
          <w:tcPr>
            <w:tcW w:w="166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календарных дней с даты регистрации для принятия решения (в виде заключения), либо решения о проведении дополнительного обследования обследуемого помещения,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заключения на принятие решения</w:t>
            </w:r>
            <w:r w:rsidRPr="00AF66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календарных дней с даты регистрации для принятия решения (в виде заключения), либо решения о проведении дополнительного обследования обследуемого помещения,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заключения на принятие решения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6236DA" w:rsidRPr="00AF66E3" w:rsidRDefault="006236DA" w:rsidP="006236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заявителя (представителя заявителя);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непредставление необходимых документов</w:t>
            </w:r>
          </w:p>
        </w:tc>
        <w:tc>
          <w:tcPr>
            <w:tcW w:w="11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регион. портал госуслуг</w:t>
            </w:r>
          </w:p>
        </w:tc>
        <w:tc>
          <w:tcPr>
            <w:tcW w:w="127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</w:tr>
      <w:tr w:rsidR="006236DA" w:rsidRPr="00AF66E3" w:rsidTr="006236DA">
        <w:tc>
          <w:tcPr>
            <w:tcW w:w="14850" w:type="dxa"/>
            <w:gridSpan w:val="1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6236DA" w:rsidRPr="00AF66E3" w:rsidTr="006236DA">
        <w:tc>
          <w:tcPr>
            <w:tcW w:w="166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календарных дней с даты регистрации для принятия решения (в виде заключения), либо решения о проведении дополнительного обследования обследуемого помещения,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заключения на принятие решения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календарных дней с даты регистрации для принятия решения (в виде заключения), либо решения о проведении дополнительного обследования обследуемого помещения,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заключения на принятие решения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6236DA" w:rsidRPr="00AF66E3" w:rsidRDefault="006236DA" w:rsidP="006236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заявителя (представителя заявителя);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непредставление необходимых документов</w:t>
            </w:r>
          </w:p>
        </w:tc>
        <w:tc>
          <w:tcPr>
            <w:tcW w:w="11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регион. портал госуслуг</w:t>
            </w:r>
          </w:p>
        </w:tc>
        <w:tc>
          <w:tcPr>
            <w:tcW w:w="127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</w:tr>
      <w:tr w:rsidR="006236DA" w:rsidRPr="00AF66E3" w:rsidTr="006236DA">
        <w:tc>
          <w:tcPr>
            <w:tcW w:w="14850" w:type="dxa"/>
            <w:gridSpan w:val="1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c>
          <w:tcPr>
            <w:tcW w:w="166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30 календарных дней с даты регистрации для принятия решения (в виде заключения), либо решения о проведении дополнительного обследования обследуемого </w:t>
            </w:r>
            <w:r w:rsidRPr="00AF66E3">
              <w:rPr>
                <w:rFonts w:ascii="Times New Roman" w:hAnsi="Times New Roman" w:cs="Times New Roman"/>
              </w:rPr>
              <w:lastRenderedPageBreak/>
              <w:t>помещения,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заключения на принятие решения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30 календарных дней с даты регистрации для принятия решения (в виде заключения), либо решения о проведении дополнительного обследования обследуемого </w:t>
            </w:r>
            <w:r w:rsidRPr="00AF66E3">
              <w:rPr>
                <w:rFonts w:ascii="Times New Roman" w:hAnsi="Times New Roman" w:cs="Times New Roman"/>
              </w:rPr>
              <w:lastRenderedPageBreak/>
              <w:t>помещения,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заключения на принятие решения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6236DA" w:rsidRPr="00AF66E3" w:rsidRDefault="006236DA" w:rsidP="006236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отсутствие в заявлении </w:t>
            </w:r>
            <w:r w:rsidRPr="00AF66E3">
              <w:rPr>
                <w:rFonts w:ascii="Times New Roman" w:hAnsi="Times New Roman" w:cs="Times New Roman"/>
              </w:rPr>
              <w:lastRenderedPageBreak/>
              <w:t>подписи заявителя (представителя заявителя);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непредставление необходимых документов</w:t>
            </w:r>
          </w:p>
        </w:tc>
        <w:tc>
          <w:tcPr>
            <w:tcW w:w="11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3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 xml:space="preserve">- регион. </w:t>
            </w:r>
            <w:r w:rsidRPr="00AF66E3">
              <w:rPr>
                <w:rFonts w:ascii="Times New Roman" w:hAnsi="Times New Roman" w:cs="Times New Roman"/>
              </w:rPr>
              <w:lastRenderedPageBreak/>
              <w:t>портал госуслуг</w:t>
            </w:r>
          </w:p>
        </w:tc>
        <w:tc>
          <w:tcPr>
            <w:tcW w:w="127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в органе, предоставляющем услугу, на бумажном носителе;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почтовая </w:t>
            </w:r>
            <w:r w:rsidRPr="00AF66E3">
              <w:rPr>
                <w:rFonts w:ascii="Times New Roman" w:hAnsi="Times New Roman" w:cs="Times New Roman"/>
              </w:rPr>
              <w:lastRenderedPageBreak/>
              <w:t>связь;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</w:tr>
    </w:tbl>
    <w:p w:rsidR="006236DA" w:rsidRPr="00AF66E3" w:rsidRDefault="006236DA" w:rsidP="006236DA">
      <w:pPr>
        <w:spacing w:after="0" w:line="240" w:lineRule="auto"/>
        <w:rPr>
          <w:rFonts w:ascii="Times New Roman" w:hAnsi="Times New Roman" w:cs="Times New Roman"/>
        </w:rPr>
      </w:pPr>
    </w:p>
    <w:p w:rsidR="006236DA" w:rsidRPr="00AF66E3" w:rsidRDefault="006236DA" w:rsidP="006236DA">
      <w:pPr>
        <w:spacing w:after="0" w:line="240" w:lineRule="auto"/>
        <w:rPr>
          <w:rFonts w:ascii="Times New Roman" w:hAnsi="Times New Roman" w:cs="Times New Roman"/>
        </w:rPr>
      </w:pPr>
    </w:p>
    <w:p w:rsidR="006236DA" w:rsidRPr="00AF66E3" w:rsidRDefault="006236DA" w:rsidP="006236DA">
      <w:pPr>
        <w:spacing w:after="0" w:line="240" w:lineRule="auto"/>
        <w:rPr>
          <w:rFonts w:ascii="Times New Roman" w:hAnsi="Times New Roman" w:cs="Times New Roman"/>
        </w:rPr>
      </w:pPr>
    </w:p>
    <w:p w:rsidR="006236DA" w:rsidRPr="00AF66E3" w:rsidRDefault="006236DA" w:rsidP="006236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36DA" w:rsidRPr="00AF66E3" w:rsidRDefault="006236DA" w:rsidP="006236DA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6236DA" w:rsidRPr="00AF66E3" w:rsidRDefault="006236DA" w:rsidP="006236D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6236DA" w:rsidRPr="00AF66E3" w:rsidTr="006236DA">
        <w:tc>
          <w:tcPr>
            <w:tcW w:w="657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236DA" w:rsidRPr="00AF66E3" w:rsidTr="006236DA">
        <w:tc>
          <w:tcPr>
            <w:tcW w:w="657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2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8</w:t>
            </w:r>
          </w:p>
        </w:tc>
      </w:tr>
      <w:tr w:rsidR="006236DA" w:rsidRPr="00AF66E3" w:rsidTr="006236DA">
        <w:tc>
          <w:tcPr>
            <w:tcW w:w="15417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</w:tbl>
    <w:tbl>
      <w:tblPr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6236DA" w:rsidRPr="00AF66E3" w:rsidTr="006236DA">
        <w:trPr>
          <w:trHeight w:val="643"/>
        </w:trPr>
        <w:tc>
          <w:tcPr>
            <w:tcW w:w="657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236DA" w:rsidRPr="00AF66E3" w:rsidTr="006236DA">
        <w:trPr>
          <w:trHeight w:val="643"/>
        </w:trPr>
        <w:tc>
          <w:tcPr>
            <w:tcW w:w="657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доверенность должна быть </w:t>
            </w:r>
            <w:r w:rsidRPr="00AF66E3">
              <w:rPr>
                <w:rFonts w:ascii="Times New Roman" w:hAnsi="Times New Roman" w:cs="Times New Roman"/>
              </w:rPr>
              <w:lastRenderedPageBreak/>
              <w:t>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236DA" w:rsidRPr="00AF66E3" w:rsidTr="006236DA">
        <w:tc>
          <w:tcPr>
            <w:tcW w:w="657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236DA" w:rsidRPr="00AF66E3" w:rsidTr="006236DA">
        <w:tc>
          <w:tcPr>
            <w:tcW w:w="657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</w:t>
            </w:r>
            <w:r w:rsidRPr="00AF66E3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1701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</w:t>
            </w:r>
            <w:r w:rsidRPr="00AF66E3">
              <w:rPr>
                <w:rFonts w:ascii="Times New Roman" w:hAnsi="Times New Roman" w:cs="Times New Roman"/>
              </w:rPr>
              <w:lastRenderedPageBreak/>
              <w:t>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/>
      </w:tblPr>
      <w:tblGrid>
        <w:gridCol w:w="15417"/>
      </w:tblGrid>
      <w:tr w:rsidR="006236DA" w:rsidRPr="00AF66E3" w:rsidTr="006236DA">
        <w:tc>
          <w:tcPr>
            <w:tcW w:w="1541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</w:tbl>
    <w:tbl>
      <w:tblPr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6236DA" w:rsidRPr="00AF66E3" w:rsidTr="006236DA">
        <w:trPr>
          <w:trHeight w:val="643"/>
        </w:trPr>
        <w:tc>
          <w:tcPr>
            <w:tcW w:w="657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</w:t>
            </w:r>
            <w:r w:rsidRPr="00AF66E3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содержание</w:t>
            </w:r>
          </w:p>
        </w:tc>
      </w:tr>
      <w:tr w:rsidR="006236DA" w:rsidRPr="00AF66E3" w:rsidTr="006236DA">
        <w:trPr>
          <w:trHeight w:val="643"/>
        </w:trPr>
        <w:tc>
          <w:tcPr>
            <w:tcW w:w="657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</w:t>
            </w:r>
            <w:r w:rsidRPr="00AF66E3">
              <w:rPr>
                <w:rFonts w:ascii="Times New Roman" w:hAnsi="Times New Roman" w:cs="Times New Roman"/>
              </w:rPr>
              <w:lastRenderedPageBreak/>
              <w:t>которой не указан срок ее действия, действительна в течение одного года с момента ее выдачи)</w:t>
            </w:r>
          </w:p>
        </w:tc>
      </w:tr>
      <w:tr w:rsidR="006236DA" w:rsidRPr="00AF66E3" w:rsidTr="006236DA">
        <w:tc>
          <w:tcPr>
            <w:tcW w:w="657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236DA" w:rsidRPr="00AF66E3" w:rsidTr="006236DA">
        <w:tc>
          <w:tcPr>
            <w:tcW w:w="657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</w:t>
            </w:r>
            <w:r w:rsidRPr="00AF66E3">
              <w:rPr>
                <w:rFonts w:ascii="Times New Roman" w:hAnsi="Times New Roman" w:cs="Times New Roman"/>
              </w:rPr>
              <w:lastRenderedPageBreak/>
              <w:t>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доверенность выдается за подписью руководителя или иного лица, </w:t>
            </w:r>
            <w:r w:rsidRPr="00AF66E3">
              <w:rPr>
                <w:rFonts w:ascii="Times New Roman" w:hAnsi="Times New Roman" w:cs="Times New Roman"/>
              </w:rPr>
              <w:lastRenderedPageBreak/>
              <w:t>уполномоченного на это. Доверенность может быть 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/>
      </w:tblPr>
      <w:tblGrid>
        <w:gridCol w:w="15417"/>
      </w:tblGrid>
      <w:tr w:rsidR="006236DA" w:rsidRPr="00AF66E3" w:rsidTr="006236DA">
        <w:tc>
          <w:tcPr>
            <w:tcW w:w="1541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</w:tbl>
    <w:tbl>
      <w:tblPr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6236DA" w:rsidRPr="00AF66E3" w:rsidTr="006236DA">
        <w:trPr>
          <w:trHeight w:val="643"/>
        </w:trPr>
        <w:tc>
          <w:tcPr>
            <w:tcW w:w="657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</w:t>
            </w:r>
            <w:r w:rsidRPr="00AF66E3">
              <w:rPr>
                <w:rFonts w:ascii="Times New Roman" w:hAnsi="Times New Roman" w:cs="Times New Roman"/>
              </w:rPr>
              <w:lastRenderedPageBreak/>
              <w:t>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</w:t>
            </w:r>
            <w:r w:rsidRPr="00AF66E3">
              <w:rPr>
                <w:rFonts w:ascii="Times New Roman" w:hAnsi="Times New Roman" w:cs="Times New Roman"/>
              </w:rPr>
              <w:lastRenderedPageBreak/>
              <w:t>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236DA" w:rsidRPr="00AF66E3" w:rsidTr="006236DA">
        <w:trPr>
          <w:trHeight w:val="643"/>
        </w:trPr>
        <w:tc>
          <w:tcPr>
            <w:tcW w:w="657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</w:t>
            </w:r>
            <w:r w:rsidRPr="00AF66E3">
              <w:rPr>
                <w:rFonts w:ascii="Times New Roman" w:hAnsi="Times New Roman" w:cs="Times New Roman"/>
              </w:rPr>
              <w:lastRenderedPageBreak/>
              <w:t>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236DA" w:rsidRPr="00AF66E3" w:rsidTr="006236DA">
        <w:tc>
          <w:tcPr>
            <w:tcW w:w="657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</w:t>
            </w:r>
            <w:r w:rsidRPr="00AF66E3">
              <w:rPr>
                <w:rFonts w:ascii="Times New Roman" w:hAnsi="Times New Roman" w:cs="Times New Roman"/>
              </w:rPr>
              <w:lastRenderedPageBreak/>
              <w:t>однозначно истолковать их содержание</w:t>
            </w:r>
          </w:p>
        </w:tc>
      </w:tr>
      <w:tr w:rsidR="006236DA" w:rsidRPr="00AF66E3" w:rsidTr="006236DA">
        <w:tc>
          <w:tcPr>
            <w:tcW w:w="657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6236DA" w:rsidRPr="00AF66E3" w:rsidRDefault="006236DA" w:rsidP="006236D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уполномочен</w:t>
            </w:r>
            <w:r>
              <w:rPr>
                <w:rFonts w:ascii="Times New Roman" w:hAnsi="Times New Roman" w:cs="Times New Roman"/>
              </w:rPr>
              <w:t xml:space="preserve">ного на это, </w:t>
            </w:r>
            <w:r w:rsidRPr="00AF66E3">
              <w:rPr>
                <w:rFonts w:ascii="Times New Roman" w:hAnsi="Times New Roman" w:cs="Times New Roman"/>
              </w:rPr>
              <w:t xml:space="preserve">может быть 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AF66E3">
              <w:rPr>
                <w:rFonts w:ascii="Times New Roman" w:hAnsi="Times New Roman" w:cs="Times New Roman"/>
              </w:rPr>
              <w:t xml:space="preserve"> года с момента ее выдачи).</w:t>
            </w:r>
          </w:p>
        </w:tc>
      </w:tr>
    </w:tbl>
    <w:p w:rsidR="006236DA" w:rsidRPr="00AF66E3" w:rsidRDefault="006236DA" w:rsidP="006236DA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6236DA" w:rsidRPr="00AF66E3" w:rsidRDefault="006236DA" w:rsidP="006236D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6236DA" w:rsidRPr="00AF66E3" w:rsidTr="006236DA">
        <w:tc>
          <w:tcPr>
            <w:tcW w:w="65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283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 xml:space="preserve">Количество необходимых экземпляров документа с указанием </w:t>
            </w:r>
            <w:r w:rsidRPr="00A9670E">
              <w:rPr>
                <w:rFonts w:ascii="Times New Roman" w:hAnsi="Times New Roman" w:cs="Times New Roman"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Условие предоставления документа</w:t>
            </w:r>
          </w:p>
        </w:tc>
        <w:tc>
          <w:tcPr>
            <w:tcW w:w="269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 xml:space="preserve">Установленные требования </w:t>
            </w:r>
          </w:p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к документу</w:t>
            </w:r>
            <w:r w:rsidRPr="00A9670E">
              <w:rPr>
                <w:rStyle w:val="a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842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Форма (шаблон) документа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Образец документа/заполнения документа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8</w:t>
            </w:r>
          </w:p>
        </w:tc>
      </w:tr>
      <w:tr w:rsidR="006236DA" w:rsidRPr="00AF66E3" w:rsidTr="006236DA">
        <w:tc>
          <w:tcPr>
            <w:tcW w:w="15417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помещение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право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реконструкции нежилого помещения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реконструкции нежилого помещения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проектно-изыскательской организации по результатам обследования элементов ограждающих и </w:t>
            </w:r>
            <w:r w:rsidRPr="00AF66E3">
              <w:rPr>
                <w:rFonts w:ascii="Times New Roman" w:hAnsi="Times New Roman" w:cs="Times New Roman"/>
              </w:rPr>
              <w:lastRenderedPageBreak/>
              <w:t>несущих конструкций жилого помещения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в случае, если в соответствии с абзацем третьим пункта 44 «Положения о </w:t>
            </w:r>
            <w:r w:rsidRPr="00AF66E3">
              <w:rPr>
                <w:rFonts w:ascii="Times New Roman" w:hAnsi="Times New Roman" w:cs="Times New Roman"/>
              </w:rPr>
              <w:lastRenderedPageBreak/>
      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неудовлетворительные условия проживания - по усмотрению заявителя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15417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заявление о признании помещения жилым помещением или жилого помещения непригодным для проживания и (или) многоквартирного дома </w:t>
            </w:r>
            <w:r w:rsidRPr="00AF66E3">
              <w:rPr>
                <w:rFonts w:ascii="Times New Roman" w:hAnsi="Times New Roman" w:cs="Times New Roman"/>
              </w:rPr>
              <w:lastRenderedPageBreak/>
              <w:t>аварийным и подлежащим сносу или реконструкции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в письменном заявлении должна быть указана информация о заявителе (Ф.И.О., данные документа, удостоверяющего </w:t>
            </w:r>
            <w:r w:rsidRPr="00AF66E3">
              <w:rPr>
                <w:rFonts w:ascii="Times New Roman" w:hAnsi="Times New Roman" w:cs="Times New Roman"/>
              </w:rPr>
              <w:lastRenderedPageBreak/>
              <w:t>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помещение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право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в случае, если в соответствии с абзацем третьим пункта 44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47, предоставление такого заключения является необходимым для принятия решения о </w:t>
            </w:r>
            <w:r w:rsidRPr="00AF66E3">
              <w:rPr>
                <w:rFonts w:ascii="Times New Roman" w:hAnsi="Times New Roman" w:cs="Times New Roman"/>
              </w:rPr>
              <w:lastRenderedPageBreak/>
              <w:t>признании жилого помещения соответствующим (не соответствующим) установленным в настоящем Положении требованиям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неудовлетворительные условия проживания - по усмотрению заявителя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15417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rPr>
          <w:trHeight w:val="2688"/>
        </w:trPr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помещение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специализированной организации, проводившей обследование многоквартирного дома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1экз.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проектно-изыскательской организации по результатам обследования элементов ограждающих и </w:t>
            </w:r>
            <w:r w:rsidRPr="00AF66E3">
              <w:rPr>
                <w:rFonts w:ascii="Times New Roman" w:hAnsi="Times New Roman" w:cs="Times New Roman"/>
              </w:rPr>
              <w:lastRenderedPageBreak/>
              <w:t>несущих конструкций жилого помещения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в случае, если в соответствии с абзацем третьим пункта 44 «Положения о </w:t>
            </w:r>
            <w:r w:rsidRPr="00AF66E3">
              <w:rPr>
                <w:rFonts w:ascii="Times New Roman" w:hAnsi="Times New Roman" w:cs="Times New Roman"/>
              </w:rPr>
              <w:lastRenderedPageBreak/>
      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6236DA" w:rsidRPr="00AF66E3" w:rsidTr="006236DA">
        <w:tc>
          <w:tcPr>
            <w:tcW w:w="65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</w:t>
            </w:r>
          </w:p>
        </w:tc>
        <w:tc>
          <w:tcPr>
            <w:tcW w:w="283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неудовлетворительные условия проживания - по усмотрению заявителя</w:t>
            </w: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</w:tbl>
    <w:p w:rsidR="006236DA" w:rsidRPr="00AF66E3" w:rsidRDefault="006236DA" w:rsidP="006236DA">
      <w:pPr>
        <w:rPr>
          <w:rFonts w:ascii="Times New Roman" w:hAnsi="Times New Roman" w:cs="Times New Roman"/>
          <w:b/>
        </w:rPr>
      </w:pPr>
    </w:p>
    <w:p w:rsidR="006236DA" w:rsidRPr="00AF66E3" w:rsidRDefault="001265BB" w:rsidP="006236D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br/>
      </w:r>
      <w:r w:rsidR="006236DA" w:rsidRPr="00AF66E3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236DA" w:rsidRPr="00AF66E3" w:rsidTr="006236DA">
        <w:tc>
          <w:tcPr>
            <w:tcW w:w="166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  <w:lang w:val="en-US"/>
              </w:rPr>
              <w:t>SID</w:t>
            </w:r>
            <w:r w:rsidRPr="00A9670E">
              <w:rPr>
                <w:rFonts w:ascii="Times New Roman" w:hAnsi="Times New Roman" w:cs="Times New Roman"/>
              </w:rPr>
              <w:t xml:space="preserve"> электронного сервиса / наименование вида сведений</w:t>
            </w:r>
            <w:r w:rsidRPr="00A9670E">
              <w:rPr>
                <w:rStyle w:val="ae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41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Срок осуществления межведомственного информационного взаимодействия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Форма (шаблон) межведомственного запроса и ответа на межведомственный запрос</w:t>
            </w:r>
            <w:r w:rsidRPr="00A9670E">
              <w:rPr>
                <w:rStyle w:val="ae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3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Образец заполнения формы межведомственного запроса и ответа на межведомственный запрос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6236DA" w:rsidRPr="00AF66E3" w:rsidTr="006236DA">
        <w:tc>
          <w:tcPr>
            <w:tcW w:w="166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9</w:t>
            </w:r>
          </w:p>
        </w:tc>
      </w:tr>
      <w:tr w:rsidR="006236DA" w:rsidRPr="00AF66E3" w:rsidTr="006236DA">
        <w:tc>
          <w:tcPr>
            <w:tcW w:w="15538" w:type="dxa"/>
            <w:gridSpan w:val="9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Единого государственного реестра прав на недвижимое имущество и сделок с ним о правах на жилое помещение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Росреестра по Воронежской области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паспорт жилого помещения, а для нежилых помещений - технический план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технический инвентаризации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заключения (акты) соответствующих органов государственного надзора (контроля) в случае, если представление указанных документов в </w:t>
            </w:r>
            <w:r w:rsidRPr="00AF66E3">
              <w:rPr>
                <w:rFonts w:ascii="Times New Roman" w:hAnsi="Times New Roman" w:cs="Times New Roman"/>
              </w:rPr>
              <w:lastRenderedPageBreak/>
              <w:t>соответствии с абзацем третьим пункта 44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Соответствующий </w:t>
            </w:r>
            <w:r w:rsidRPr="00AF66E3">
              <w:rPr>
                <w:rFonts w:ascii="Times New Roman" w:hAnsi="Times New Roman" w:cs="Times New Roman"/>
              </w:rPr>
              <w:t>орган государственного надзора (контроля)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538" w:type="dxa"/>
            <w:gridSpan w:val="9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Единого государственного реестра прав на недвижимое имущество и сделок с ним о правах на жилое помещение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Росреестра по Воронежской области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паспорт жилого помещения, а для нежилых помещений - технический план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технический инвентаризации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 признано необходимым для принятия решения о признании жилого помещения соответствующим </w:t>
            </w:r>
            <w:r w:rsidRPr="00AF66E3">
              <w:rPr>
                <w:rFonts w:ascii="Times New Roman" w:hAnsi="Times New Roman" w:cs="Times New Roman"/>
              </w:rPr>
              <w:lastRenderedPageBreak/>
              <w:t>(не соответствующим) установленным в настоящем Положении требованиям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Соответствующий </w:t>
            </w:r>
            <w:r w:rsidRPr="00AF66E3">
              <w:rPr>
                <w:rFonts w:ascii="Times New Roman" w:hAnsi="Times New Roman" w:cs="Times New Roman"/>
              </w:rPr>
              <w:t>орган государственного надзора (контроля)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538" w:type="dxa"/>
            <w:gridSpan w:val="9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Единого государственного реестра прав на недвижимое имущество и сделок с ним о правах на жилое помещение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Росреестра по Воронежской области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паспорт жилого помещения, а для нежилых помещений - технический план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технический инвентаризации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66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о признании помещения жилым помещением, жилого помещения непригодным для проживания и многоквартирного дома аварийным и </w:t>
            </w:r>
            <w:r w:rsidRPr="00AF66E3">
              <w:rPr>
                <w:rFonts w:ascii="Times New Roman" w:hAnsi="Times New Roman" w:cs="Times New Roman"/>
              </w:rPr>
              <w:lastRenderedPageBreak/>
              <w:t>подлежащим сносу или реконструкции», утвержденного Постановлением Правительства Российской Федерации от 28.01.2006 № 47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Соответствующий </w:t>
            </w:r>
            <w:r w:rsidRPr="00AF66E3">
              <w:rPr>
                <w:rFonts w:ascii="Times New Roman" w:hAnsi="Times New Roman" w:cs="Times New Roman"/>
              </w:rPr>
              <w:t>орган государственного надзора (контроля)</w:t>
            </w:r>
          </w:p>
        </w:tc>
        <w:tc>
          <w:tcPr>
            <w:tcW w:w="120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6236DA" w:rsidRPr="00A9670E" w:rsidRDefault="006236DA" w:rsidP="00A9670E">
      <w:pPr>
        <w:rPr>
          <w:rFonts w:ascii="Times New Roman" w:hAnsi="Times New Roman" w:cs="Times New Roman"/>
          <w:b/>
        </w:rPr>
      </w:pPr>
      <w:r w:rsidRPr="00A9670E">
        <w:rPr>
          <w:rFonts w:ascii="Times New Roman" w:hAnsi="Times New Roman" w:cs="Times New Roman"/>
          <w:b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6236DA" w:rsidRPr="00AF66E3" w:rsidTr="006236DA">
        <w:tc>
          <w:tcPr>
            <w:tcW w:w="534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Требования к документу/документам, являющимся результатом «подуслуги»</w:t>
            </w:r>
            <w:r w:rsidRPr="00A9670E">
              <w:rPr>
                <w:rStyle w:val="ae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Характеристика результата (положительный/</w:t>
            </w:r>
          </w:p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Форма документа/ документов, являющимся результатом «подуслуги»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Образец документа/ документов, являющихся результатом «подуслуги»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Срок хранения невостребованных заявителем результатов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6236DA" w:rsidRPr="00AF66E3" w:rsidTr="006236DA">
        <w:tc>
          <w:tcPr>
            <w:tcW w:w="534" w:type="dxa"/>
            <w:vMerge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39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в МФЦ</w:t>
            </w:r>
          </w:p>
        </w:tc>
      </w:tr>
      <w:tr w:rsidR="006236DA" w:rsidRPr="00AF66E3" w:rsidTr="006236DA">
        <w:tc>
          <w:tcPr>
            <w:tcW w:w="53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9</w:t>
            </w:r>
          </w:p>
        </w:tc>
      </w:tr>
      <w:tr w:rsidR="006236DA" w:rsidRPr="00AF66E3" w:rsidTr="006236DA">
        <w:tc>
          <w:tcPr>
            <w:tcW w:w="15538" w:type="dxa"/>
            <w:gridSpan w:val="9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6236DA" w:rsidRPr="00AF66E3" w:rsidTr="006236DA">
        <w:tc>
          <w:tcPr>
            <w:tcW w:w="534" w:type="dxa"/>
          </w:tcPr>
          <w:p w:rsidR="006236DA" w:rsidRPr="00AF66E3" w:rsidRDefault="006236DA" w:rsidP="006236D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36DA" w:rsidRPr="00AF66E3" w:rsidRDefault="006236DA" w:rsidP="006236DA">
            <w:pPr>
              <w:pStyle w:val="ConsPlusNormal"/>
              <w:jc w:val="both"/>
            </w:pPr>
            <w:r w:rsidRPr="00AF66E3">
              <w:t>Решение (в виде заключения) о признании помещения жилым помещением</w:t>
            </w:r>
          </w:p>
        </w:tc>
        <w:tc>
          <w:tcPr>
            <w:tcW w:w="2273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534" w:type="dxa"/>
          </w:tcPr>
          <w:p w:rsidR="006236DA" w:rsidRPr="00AF66E3" w:rsidRDefault="006236DA" w:rsidP="006236D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36DA" w:rsidRPr="00AF66E3" w:rsidRDefault="006236DA" w:rsidP="006236DA">
            <w:pPr>
              <w:pStyle w:val="ConsPlusNormal"/>
              <w:jc w:val="center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</w:t>
            </w:r>
            <w:r>
              <w:rPr>
                <w:rFonts w:ascii="Times New Roman" w:hAnsi="Times New Roman"/>
              </w:rPr>
              <w:lastRenderedPageBreak/>
              <w:t>предоставлении услуги</w:t>
            </w:r>
          </w:p>
        </w:tc>
        <w:tc>
          <w:tcPr>
            <w:tcW w:w="18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регион. </w:t>
            </w:r>
            <w:r w:rsidRPr="00AF66E3">
              <w:rPr>
                <w:rFonts w:ascii="Times New Roman" w:hAnsi="Times New Roman" w:cs="Times New Roman"/>
              </w:rPr>
              <w:lastRenderedPageBreak/>
              <w:t>портале госуслуг</w:t>
            </w:r>
          </w:p>
        </w:tc>
        <w:tc>
          <w:tcPr>
            <w:tcW w:w="127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538" w:type="dxa"/>
            <w:gridSpan w:val="9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6236DA" w:rsidRPr="00AF66E3" w:rsidTr="006236DA">
        <w:tc>
          <w:tcPr>
            <w:tcW w:w="5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36DA" w:rsidRPr="00AF66E3" w:rsidRDefault="006236DA" w:rsidP="006236DA">
            <w:pPr>
              <w:pStyle w:val="ConsPlusNormal"/>
              <w:jc w:val="both"/>
            </w:pPr>
            <w:r w:rsidRPr="00AF66E3">
              <w:t xml:space="preserve">Решение о признании жилого помещения пригодным (непригодным) для проживания граждан </w:t>
            </w:r>
          </w:p>
        </w:tc>
        <w:tc>
          <w:tcPr>
            <w:tcW w:w="2273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5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236DA" w:rsidRPr="00AF66E3" w:rsidRDefault="006236DA" w:rsidP="006236DA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предоставлении услуги</w:t>
            </w:r>
          </w:p>
        </w:tc>
        <w:tc>
          <w:tcPr>
            <w:tcW w:w="18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538" w:type="dxa"/>
            <w:gridSpan w:val="9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c>
          <w:tcPr>
            <w:tcW w:w="5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36DA" w:rsidRPr="00AF66E3" w:rsidRDefault="006236DA" w:rsidP="006236DA">
            <w:pPr>
              <w:pStyle w:val="ConsPlusNormal"/>
              <w:jc w:val="both"/>
            </w:pPr>
            <w:r w:rsidRPr="00AF66E3">
              <w:t xml:space="preserve">Решение о признании многоквартирного дома аварийным и подлежащим сносу или реконструкции и издание распоряжения администрацией с указанием о дальнейшем </w:t>
            </w:r>
            <w:r w:rsidRPr="00AF66E3">
              <w:lastRenderedPageBreak/>
              <w:t>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  <w:tc>
          <w:tcPr>
            <w:tcW w:w="2273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Наличие подписи должностного лица, подготовившего документ, даты составления документа, печати организации, </w:t>
            </w:r>
            <w:r w:rsidRPr="00ED1AE5">
              <w:rPr>
                <w:rFonts w:ascii="Times New Roman" w:hAnsi="Times New Roman"/>
              </w:rPr>
              <w:lastRenderedPageBreak/>
              <w:t>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в МФЦ на бумажном </w:t>
            </w:r>
            <w:r w:rsidRPr="00AF66E3">
              <w:rPr>
                <w:rFonts w:ascii="Times New Roman" w:hAnsi="Times New Roman" w:cs="Times New Roman"/>
              </w:rPr>
              <w:lastRenderedPageBreak/>
              <w:t>носителе, полученном из Органа;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534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6236DA" w:rsidRPr="00AF66E3" w:rsidRDefault="006236DA" w:rsidP="006236DA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36DA" w:rsidRPr="00ED1AE5" w:rsidRDefault="006236DA" w:rsidP="00A9670E">
            <w:pPr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</w:t>
            </w:r>
            <w:r w:rsidR="00A9670E"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кумент, даты состав</w:t>
            </w:r>
            <w:r w:rsidR="00A9670E"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ления документа, пе</w:t>
            </w:r>
            <w:r w:rsidR="00A9670E"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исправ</w:t>
            </w:r>
            <w:r w:rsidR="00A9670E"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предоставлении услуги</w:t>
            </w:r>
          </w:p>
        </w:tc>
        <w:tc>
          <w:tcPr>
            <w:tcW w:w="1838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36DA" w:rsidRPr="00ED1AE5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36DA" w:rsidRPr="00AF66E3" w:rsidRDefault="006236DA" w:rsidP="00A9670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тавляющем услу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36DA" w:rsidRPr="00AF66E3" w:rsidRDefault="006236DA" w:rsidP="00623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6236DA" w:rsidRPr="00A9670E" w:rsidRDefault="006236DA" w:rsidP="00A9670E">
      <w:pPr>
        <w:rPr>
          <w:rFonts w:ascii="Times New Roman" w:hAnsi="Times New Roman" w:cs="Times New Roman"/>
          <w:b/>
        </w:rPr>
      </w:pPr>
      <w:r w:rsidRPr="00A9670E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6236DA" w:rsidRPr="00AF66E3" w:rsidTr="006236DA">
        <w:tc>
          <w:tcPr>
            <w:tcW w:w="64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  <w:gridSpan w:val="2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12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  <w:r w:rsidRPr="00A9670E">
              <w:rPr>
                <w:rStyle w:val="ae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2267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670E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  <w:r w:rsidRPr="00A9670E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7</w:t>
            </w: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заявления установленным требованиям;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возвращаются подлинники заявителю;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</w:t>
            </w:r>
            <w:r w:rsidRPr="00AF66E3">
              <w:rPr>
                <w:rFonts w:ascii="Times New Roman" w:hAnsi="Times New Roman" w:cs="Times New Roman"/>
              </w:rPr>
              <w:lastRenderedPageBreak/>
              <w:t>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прилагаемым комплектом документов; - выдается расписка в получении документов по установленной форме указанием перечня документов и даты их получения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236DA" w:rsidRPr="00AF66E3" w:rsidTr="006236DA">
        <w:trPr>
          <w:trHeight w:val="1695"/>
        </w:trPr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требованиям и принимает решения в порядке, предусмотренном пунктом 47 Положения;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принимает решение о соответствии помещения требованиям, предъявляемым к жилому помещению, и его пригодности для проживания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заключения орган местного самоуправления: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дальнейшем использовании помещения;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распоряжения с указанием о дальнейшем использовании помещения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самоуправления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мотивированном отказе в предоставлении муниципальной услуги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распоряжения и заключения комиссии либо уведомления о мотивированном отказе в предоставлении муниципальной услуги</w:t>
            </w:r>
          </w:p>
        </w:tc>
        <w:tc>
          <w:tcPr>
            <w:tcW w:w="3544" w:type="dxa"/>
          </w:tcPr>
          <w:p w:rsidR="006236DA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</w:t>
            </w:r>
          </w:p>
          <w:p w:rsidR="006236DA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Прием и регистрация </w:t>
            </w:r>
            <w:r w:rsidRPr="00AF66E3">
              <w:rPr>
                <w:rFonts w:ascii="Times New Roman" w:hAnsi="Times New Roman" w:cs="Times New Roman"/>
              </w:rPr>
              <w:lastRenderedPageBreak/>
              <w:t>заявления и прилагаемых к нему документов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устанавливается предмет </w:t>
            </w:r>
            <w:r w:rsidRPr="00AF66E3">
              <w:rPr>
                <w:rFonts w:ascii="Times New Roman" w:hAnsi="Times New Roman" w:cs="Times New Roman"/>
              </w:rPr>
              <w:lastRenderedPageBreak/>
              <w:t>обращения, устанавливается личность заявителя, проверяется документ, удостоверяющий личность заявителя;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заявления установленным требованиям;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возвращаются подлинники заявителю;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прилагаемым комплектом документов; - выдается расписка в получении документов по установленной форме указанием перечня документов и даты их получения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1 календарный </w:t>
            </w:r>
            <w:r w:rsidRPr="00AF66E3">
              <w:rPr>
                <w:rFonts w:ascii="Times New Roman" w:hAnsi="Times New Roman" w:cs="Times New Roman"/>
              </w:rPr>
              <w:lastRenderedPageBreak/>
              <w:t>день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специалист, </w:t>
            </w:r>
            <w:r w:rsidRPr="00AF66E3">
              <w:rPr>
                <w:rFonts w:ascii="Times New Roman" w:hAnsi="Times New Roman" w:cs="Times New Roman"/>
              </w:rPr>
              <w:lastRenderedPageBreak/>
              <w:t>ответственный за прием документов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Правовое, </w:t>
            </w:r>
            <w:r>
              <w:rPr>
                <w:rFonts w:ascii="Times New Roman" w:hAnsi="Times New Roman" w:cs="Times New Roman"/>
              </w:rPr>
              <w:lastRenderedPageBreak/>
              <w:t>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 xml:space="preserve">Рассмотрение представленных документов, истребование документов (сведений), в рамках </w:t>
            </w:r>
            <w:r w:rsidRPr="00AF66E3">
              <w:rPr>
                <w:rFonts w:ascii="Times New Roman" w:hAnsi="Times New Roman" w:cs="Times New Roman"/>
                <w:b/>
              </w:rPr>
              <w:lastRenderedPageBreak/>
              <w:t>межведомственного взаимодействия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требованиям и принимает решения в порядке, предусмотренном пунктом 47 Положения;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помещения непригодным для проживания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Подготовка и издание распоряжения органа местного самоуправления с указанием о дальнейшем использовании </w:t>
            </w:r>
            <w:r w:rsidRPr="00AF66E3"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на основании полученного заключения орган местного самоуправления: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дальнейшем использовании помещения;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обеспечивает регистрацию распоряжения с указанием о дальнейшем использовании помещения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самоуправления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мотивированном отказе в предоставлении муниципальной услуги</w:t>
            </w:r>
          </w:p>
        </w:tc>
      </w:tr>
      <w:tr w:rsidR="006236DA" w:rsidRPr="00AF66E3" w:rsidTr="006236DA">
        <w:tc>
          <w:tcPr>
            <w:tcW w:w="675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распоряжения и заключения комиссии либо уведомления о мотивированном отказе в предоставлении муниципальной услуги</w:t>
            </w:r>
          </w:p>
        </w:tc>
        <w:tc>
          <w:tcPr>
            <w:tcW w:w="3544" w:type="dxa"/>
          </w:tcPr>
          <w:p w:rsidR="006236DA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</w:t>
            </w:r>
          </w:p>
          <w:p w:rsidR="006236DA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заявления установленным требованиям;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сверяются копии документов с их подлинниками, заверяются и </w:t>
            </w:r>
            <w:r w:rsidRPr="00AF66E3">
              <w:rPr>
                <w:rFonts w:ascii="Times New Roman" w:hAnsi="Times New Roman" w:cs="Times New Roman"/>
              </w:rPr>
              <w:lastRenderedPageBreak/>
              <w:t>возвращаются подлинники заявителю;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прилагаемым комплектом документов; - выдается расписка в получении документов по установленной форме указанием перечня документов и даты их получения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</w:t>
            </w:r>
            <w:r w:rsidRPr="00AF66E3">
              <w:rPr>
                <w:rFonts w:ascii="Times New Roman" w:hAnsi="Times New Roman" w:cs="Times New Roman"/>
              </w:rPr>
              <w:lastRenderedPageBreak/>
              <w:t>помещения установленным в Положении требованиям и принимает решения в порядке, предусмотренном пунктом 47 Положения;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принимает решение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 Положения или о выявлении оснований для признания многоквартирного дома аварийным и подлежащим реконструкции или о выявлении оснований для признания многоквартирного дома аварийным и подлежащим сносу 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о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Подготовка и издание распоряжения органа местного самоуправления о </w:t>
            </w:r>
            <w:r w:rsidRPr="00AF66E3">
              <w:rPr>
                <w:rFonts w:ascii="Times New Roman" w:hAnsi="Times New Roman" w:cs="Times New Roman"/>
              </w:rPr>
              <w:lastRenderedPageBreak/>
              <w:t>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  <w:tc>
          <w:tcPr>
            <w:tcW w:w="3544" w:type="dxa"/>
          </w:tcPr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на основании полученного заключения орган местного самоуправления: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</w:t>
            </w:r>
            <w:r w:rsidRPr="00AF66E3">
              <w:rPr>
                <w:rFonts w:ascii="Times New Roman" w:hAnsi="Times New Roman" w:cs="Times New Roman"/>
              </w:rPr>
              <w:lastRenderedPageBreak/>
              <w:t>распоряжение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готовит проект распоряжения администрации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уведомление о мотивированном отказе в предоставлении муниципальной услуги;</w:t>
            </w:r>
          </w:p>
          <w:p w:rsidR="006236DA" w:rsidRPr="00AF66E3" w:rsidRDefault="006236DA" w:rsidP="00623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распоряжения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уведомления о мотивированном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самоуправления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rPr>
                <w:rFonts w:ascii="Times New Roman" w:hAnsi="Times New Roman" w:cs="Times New Roman"/>
              </w:rPr>
            </w:pPr>
          </w:p>
        </w:tc>
      </w:tr>
      <w:tr w:rsidR="006236DA" w:rsidRPr="00AF66E3" w:rsidTr="006236DA">
        <w:tc>
          <w:tcPr>
            <w:tcW w:w="15133" w:type="dxa"/>
            <w:gridSpan w:val="8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мотивированном отказе в предоставлении муниципальной услуги</w:t>
            </w:r>
          </w:p>
        </w:tc>
      </w:tr>
      <w:tr w:rsidR="006236DA" w:rsidRPr="00AF66E3" w:rsidTr="006236DA">
        <w:tc>
          <w:tcPr>
            <w:tcW w:w="641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Выдача (направление) заявителю распоряжения и заключения комиссии либо уведомления о </w:t>
            </w:r>
            <w:r w:rsidRPr="00AF66E3">
              <w:rPr>
                <w:rFonts w:ascii="Times New Roman" w:hAnsi="Times New Roman" w:cs="Times New Roman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3544" w:type="dxa"/>
          </w:tcPr>
          <w:p w:rsidR="006236DA" w:rsidRPr="00AF66E3" w:rsidRDefault="006236DA" w:rsidP="00A9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комиссия направляет в письмен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ис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об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 xml:space="preserve">щего пользования, в том числе </w:t>
            </w:r>
            <w:r w:rsidRPr="00AF66E3">
              <w:rPr>
                <w:rFonts w:ascii="Times New Roman" w:hAnsi="Times New Roman" w:cs="Times New Roman"/>
              </w:rPr>
              <w:lastRenderedPageBreak/>
              <w:t>информационно-телекоммуника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ционной сети "Интернет", включая единый портал или региональный портал государственных и муни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ципальных услуг (при его нали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чии), по 1 экземпляру распоряже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ния и заключения комиссии заяви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телю, а также в случае признания жилого помещения непригодным для проживания и многоквар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тирного дома аварийным и подле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 - в орган государственного жилищ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ного надзора (муниципального жилищного контроля) по месту на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хождения такого помещения или дома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уведомления о мотиви</w:t>
            </w:r>
            <w:r w:rsidR="00A9670E">
              <w:rPr>
                <w:rFonts w:ascii="Times New Roman" w:hAnsi="Times New Roman" w:cs="Times New Roman"/>
              </w:rPr>
              <w:t>-</w:t>
            </w:r>
            <w:r w:rsidRPr="00AF66E3">
              <w:rPr>
                <w:rFonts w:ascii="Times New Roman" w:hAnsi="Times New Roman" w:cs="Times New Roman"/>
              </w:rPr>
              <w:t>рованном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36DA" w:rsidRPr="00ED1AE5" w:rsidRDefault="006236DA" w:rsidP="0062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26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1265BB" w:rsidRDefault="001265BB" w:rsidP="00A9670E">
      <w:pPr>
        <w:rPr>
          <w:rFonts w:ascii="Times New Roman" w:hAnsi="Times New Roman" w:cs="Times New Roman"/>
          <w:b/>
        </w:rPr>
      </w:pPr>
    </w:p>
    <w:p w:rsidR="006236DA" w:rsidRPr="00A9670E" w:rsidRDefault="006236DA" w:rsidP="00A9670E">
      <w:pPr>
        <w:rPr>
          <w:rFonts w:ascii="Times New Roman" w:eastAsiaTheme="majorEastAsia" w:hAnsi="Times New Roman" w:cs="Times New Roman"/>
          <w:b/>
          <w:bCs/>
        </w:rPr>
      </w:pPr>
      <w:r w:rsidRPr="00A9670E">
        <w:rPr>
          <w:rFonts w:ascii="Times New Roman" w:hAnsi="Times New Roman" w:cs="Times New Roman"/>
          <w:b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6236DA" w:rsidRPr="00AF66E3" w:rsidTr="006236DA">
        <w:tc>
          <w:tcPr>
            <w:tcW w:w="2802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«под</w:t>
            </w:r>
            <w:bookmarkStart w:id="1" w:name="_GoBack"/>
            <w:bookmarkEnd w:id="1"/>
            <w:r w:rsidRPr="00A9670E">
              <w:rPr>
                <w:rFonts w:ascii="Times New Roman" w:hAnsi="Times New Roman" w:cs="Times New Roman"/>
              </w:rPr>
              <w:t>услуги»</w:t>
            </w:r>
          </w:p>
        </w:tc>
        <w:tc>
          <w:tcPr>
            <w:tcW w:w="127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формирования запроса о предоставлении «подуслуги»</w:t>
            </w:r>
          </w:p>
        </w:tc>
        <w:tc>
          <w:tcPr>
            <w:tcW w:w="2337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236DA" w:rsidRPr="00AF66E3" w:rsidTr="006236DA">
        <w:tc>
          <w:tcPr>
            <w:tcW w:w="2802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6236DA" w:rsidRPr="00A9670E" w:rsidRDefault="006236DA" w:rsidP="006236DA">
            <w:pPr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36DA" w:rsidRPr="00A9670E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9670E">
              <w:rPr>
                <w:rFonts w:ascii="Times New Roman" w:hAnsi="Times New Roman" w:cs="Times New Roman"/>
              </w:rPr>
              <w:t>7</w:t>
            </w:r>
          </w:p>
        </w:tc>
      </w:tr>
      <w:tr w:rsidR="006236DA" w:rsidRPr="00AF66E3" w:rsidTr="006236DA">
        <w:tc>
          <w:tcPr>
            <w:tcW w:w="15418" w:type="dxa"/>
            <w:gridSpan w:val="7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6236DA" w:rsidRPr="00AF66E3" w:rsidTr="006236DA">
        <w:tc>
          <w:tcPr>
            <w:tcW w:w="280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  <w:tr w:rsidR="006236DA" w:rsidRPr="00AF66E3" w:rsidTr="006236DA">
        <w:tc>
          <w:tcPr>
            <w:tcW w:w="15418" w:type="dxa"/>
            <w:gridSpan w:val="7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6236DA" w:rsidRPr="00AF66E3" w:rsidTr="006236DA">
        <w:tc>
          <w:tcPr>
            <w:tcW w:w="280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  <w:tr w:rsidR="006236DA" w:rsidRPr="00AF66E3" w:rsidTr="006236DA">
        <w:tc>
          <w:tcPr>
            <w:tcW w:w="15418" w:type="dxa"/>
            <w:gridSpan w:val="7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36DA" w:rsidRPr="00AF66E3" w:rsidTr="006236DA">
        <w:tc>
          <w:tcPr>
            <w:tcW w:w="2802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236DA" w:rsidRPr="00AF66E3" w:rsidRDefault="006236DA" w:rsidP="006236D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6236DA" w:rsidRPr="00AF66E3" w:rsidRDefault="006236DA" w:rsidP="006236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Перечень приложений:</w:t>
      </w:r>
    </w:p>
    <w:p w:rsidR="006236DA" w:rsidRPr="00AF66E3" w:rsidRDefault="006236DA" w:rsidP="006236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Приложение 1 (форма расписки)</w:t>
      </w:r>
    </w:p>
    <w:p w:rsidR="006236DA" w:rsidRPr="00AF66E3" w:rsidRDefault="006236DA" w:rsidP="006236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36DA" w:rsidRPr="00AF66E3" w:rsidRDefault="006236DA" w:rsidP="006236DA">
      <w:pPr>
        <w:spacing w:after="0" w:line="240" w:lineRule="auto"/>
        <w:jc w:val="both"/>
        <w:rPr>
          <w:rFonts w:ascii="Times New Roman" w:hAnsi="Times New Roman" w:cs="Times New Roman"/>
        </w:rPr>
        <w:sectPr w:rsidR="006236DA" w:rsidRPr="00AF66E3" w:rsidSect="001265BB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6236DA" w:rsidRPr="00AF66E3" w:rsidRDefault="006236DA" w:rsidP="006236DA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6236DA" w:rsidRPr="00AF66E3" w:rsidRDefault="006236DA" w:rsidP="006236DA">
      <w:pPr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 xml:space="preserve"> </w:t>
      </w:r>
    </w:p>
    <w:p w:rsidR="006236DA" w:rsidRPr="00AF66E3" w:rsidRDefault="006236DA" w:rsidP="006236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6236DA" w:rsidRPr="00AF66E3" w:rsidRDefault="006236DA" w:rsidP="006236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РАСПИСКА</w:t>
      </w:r>
    </w:p>
    <w:p w:rsidR="006236DA" w:rsidRPr="00AF66E3" w:rsidRDefault="006236DA" w:rsidP="006236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236DA" w:rsidRPr="00AF66E3" w:rsidRDefault="006236DA" w:rsidP="006236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о подготовке, утверждении и выдаче градостроительного плана</w:t>
      </w:r>
    </w:p>
    <w:p w:rsidR="006236DA" w:rsidRPr="00AF66E3" w:rsidRDefault="006236DA" w:rsidP="006236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земельного участка, расположенного на территории</w:t>
      </w:r>
    </w:p>
    <w:p w:rsidR="006236DA" w:rsidRPr="00AF66E3" w:rsidRDefault="00A9670E" w:rsidP="006236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Пчелиновского </w:t>
      </w:r>
      <w:r w:rsidR="006236DA" w:rsidRPr="00AF66E3">
        <w:rPr>
          <w:rFonts w:ascii="Times New Roman" w:hAnsi="Times New Roman" w:cs="Times New Roman"/>
        </w:rPr>
        <w:t>сельского поселения</w:t>
      </w:r>
    </w:p>
    <w:p w:rsidR="006236DA" w:rsidRPr="00AF66E3" w:rsidRDefault="006236DA" w:rsidP="006236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236DA" w:rsidRPr="00AF66E3" w:rsidRDefault="006236DA" w:rsidP="006236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  <w:r w:rsidR="00A9670E">
        <w:rPr>
          <w:rFonts w:ascii="Times New Roman" w:hAnsi="Times New Roman" w:cs="Times New Roman"/>
          <w:sz w:val="22"/>
          <w:szCs w:val="22"/>
        </w:rPr>
        <w:t>__________</w:t>
      </w:r>
    </w:p>
    <w:p w:rsidR="006236DA" w:rsidRPr="00AF66E3" w:rsidRDefault="006236DA" w:rsidP="006236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</w:t>
      </w:r>
      <w:r w:rsidR="00A967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AF66E3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6236DA" w:rsidRPr="00AF66E3" w:rsidRDefault="006236DA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представил,  а сотрудник</w:t>
      </w:r>
      <w:r w:rsidR="00A9670E">
        <w:rPr>
          <w:rFonts w:ascii="Times New Roman" w:hAnsi="Times New Roman" w:cs="Times New Roman"/>
          <w:sz w:val="22"/>
          <w:szCs w:val="22"/>
        </w:rPr>
        <w:t xml:space="preserve"> </w:t>
      </w: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A9670E" w:rsidRDefault="006236DA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администрации</w:t>
      </w:r>
      <w:r w:rsidR="00A9670E">
        <w:rPr>
          <w:rFonts w:ascii="Times New Roman" w:hAnsi="Times New Roman" w:cs="Times New Roman"/>
          <w:sz w:val="22"/>
          <w:szCs w:val="22"/>
        </w:rPr>
        <w:t xml:space="preserve"> Пчелиновского</w:t>
      </w:r>
      <w:r w:rsidRPr="00AF66E3">
        <w:rPr>
          <w:rFonts w:ascii="Times New Roman" w:hAnsi="Times New Roman" w:cs="Times New Roman"/>
          <w:sz w:val="22"/>
          <w:szCs w:val="22"/>
        </w:rPr>
        <w:t xml:space="preserve"> сельского поселения получил "_____" </w:t>
      </w:r>
      <w:r w:rsidR="00A9670E">
        <w:rPr>
          <w:rFonts w:ascii="Times New Roman" w:hAnsi="Times New Roman" w:cs="Times New Roman"/>
          <w:sz w:val="22"/>
          <w:szCs w:val="22"/>
        </w:rPr>
        <w:t xml:space="preserve"> </w:t>
      </w:r>
      <w:r w:rsidRPr="00AF66E3">
        <w:rPr>
          <w:rFonts w:ascii="Times New Roman" w:hAnsi="Times New Roman" w:cs="Times New Roman"/>
          <w:sz w:val="22"/>
          <w:szCs w:val="22"/>
        </w:rPr>
        <w:t>______________</w:t>
      </w:r>
      <w:r w:rsidR="00A9670E">
        <w:rPr>
          <w:rFonts w:ascii="Times New Roman" w:hAnsi="Times New Roman" w:cs="Times New Roman"/>
          <w:sz w:val="22"/>
          <w:szCs w:val="22"/>
        </w:rPr>
        <w:t xml:space="preserve">    </w:t>
      </w:r>
      <w:r w:rsidRPr="00AF66E3">
        <w:rPr>
          <w:rFonts w:ascii="Times New Roman" w:hAnsi="Times New Roman" w:cs="Times New Roman"/>
          <w:sz w:val="22"/>
          <w:szCs w:val="22"/>
        </w:rPr>
        <w:t xml:space="preserve"> _____ </w:t>
      </w:r>
    </w:p>
    <w:p w:rsidR="00A9670E" w:rsidRPr="00AF66E3" w:rsidRDefault="00A9670E" w:rsidP="00A967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AF66E3">
        <w:rPr>
          <w:rFonts w:ascii="Times New Roman" w:hAnsi="Times New Roman" w:cs="Times New Roman"/>
          <w:sz w:val="22"/>
          <w:szCs w:val="22"/>
        </w:rPr>
        <w:t>(число)   (месяц прописью)    (год)</w:t>
      </w:r>
    </w:p>
    <w:p w:rsidR="006236DA" w:rsidRPr="00AF66E3" w:rsidRDefault="00A9670E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6236DA" w:rsidRPr="00AF66E3">
        <w:rPr>
          <w:rFonts w:ascii="Times New Roman" w:hAnsi="Times New Roman" w:cs="Times New Roman"/>
          <w:sz w:val="22"/>
          <w:szCs w:val="22"/>
        </w:rPr>
        <w:t>окументы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36DA" w:rsidRPr="00AF66E3">
        <w:rPr>
          <w:rFonts w:ascii="Times New Roman" w:hAnsi="Times New Roman" w:cs="Times New Roman"/>
          <w:sz w:val="22"/>
          <w:szCs w:val="22"/>
        </w:rPr>
        <w:t xml:space="preserve">в количестве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36DA" w:rsidRPr="00AF66E3">
        <w:rPr>
          <w:rFonts w:ascii="Times New Roman" w:hAnsi="Times New Roman" w:cs="Times New Roman"/>
          <w:sz w:val="22"/>
          <w:szCs w:val="22"/>
        </w:rPr>
        <w:t>________________ экземпляров по прилагаемому к заявлению</w:t>
      </w:r>
    </w:p>
    <w:p w:rsidR="006236DA" w:rsidRPr="00AF66E3" w:rsidRDefault="006236DA" w:rsidP="006236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</w:t>
      </w:r>
      <w:r w:rsidRPr="00AF66E3">
        <w:rPr>
          <w:rFonts w:ascii="Times New Roman" w:hAnsi="Times New Roman" w:cs="Times New Roman"/>
          <w:sz w:val="22"/>
          <w:szCs w:val="22"/>
        </w:rPr>
        <w:tab/>
      </w:r>
      <w:r w:rsidRPr="00AF66E3">
        <w:rPr>
          <w:rFonts w:ascii="Times New Roman" w:hAnsi="Times New Roman" w:cs="Times New Roman"/>
          <w:sz w:val="22"/>
          <w:szCs w:val="22"/>
        </w:rPr>
        <w:tab/>
      </w:r>
      <w:r w:rsidR="00A9670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F66E3">
        <w:rPr>
          <w:rFonts w:ascii="Times New Roman" w:hAnsi="Times New Roman" w:cs="Times New Roman"/>
          <w:sz w:val="22"/>
          <w:szCs w:val="22"/>
        </w:rPr>
        <w:t>(прописью)</w:t>
      </w:r>
    </w:p>
    <w:p w:rsidR="006236DA" w:rsidRPr="00AF66E3" w:rsidRDefault="006236DA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</w:t>
      </w:r>
      <w:r w:rsidR="00A9670E">
        <w:rPr>
          <w:rFonts w:ascii="Times New Roman" w:hAnsi="Times New Roman" w:cs="Times New Roman"/>
          <w:sz w:val="22"/>
          <w:szCs w:val="22"/>
        </w:rPr>
        <w:t>Пчелиновского</w:t>
      </w:r>
      <w:r w:rsidRPr="00AF66E3">
        <w:rPr>
          <w:rFonts w:ascii="Times New Roman" w:hAnsi="Times New Roman" w:cs="Times New Roman"/>
          <w:sz w:val="22"/>
          <w:szCs w:val="22"/>
        </w:rPr>
        <w:t xml:space="preserve"> сельского поселения (согласно п. 2.6.1 настоящего административного регламента).</w:t>
      </w:r>
    </w:p>
    <w:p w:rsidR="006236DA" w:rsidRPr="00AF66E3" w:rsidRDefault="006236DA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9670E">
        <w:rPr>
          <w:rFonts w:ascii="Times New Roman" w:hAnsi="Times New Roman" w:cs="Times New Roman"/>
          <w:sz w:val="22"/>
          <w:szCs w:val="22"/>
        </w:rPr>
        <w:t>_________________</w:t>
      </w:r>
    </w:p>
    <w:p w:rsidR="006236DA" w:rsidRPr="00AF66E3" w:rsidRDefault="006236DA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9670E">
        <w:rPr>
          <w:rFonts w:ascii="Times New Roman" w:hAnsi="Times New Roman" w:cs="Times New Roman"/>
          <w:sz w:val="22"/>
          <w:szCs w:val="22"/>
        </w:rPr>
        <w:t>__________________</w:t>
      </w:r>
    </w:p>
    <w:p w:rsidR="006236DA" w:rsidRPr="00AF66E3" w:rsidRDefault="006236DA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9670E">
        <w:rPr>
          <w:rFonts w:ascii="Times New Roman" w:hAnsi="Times New Roman" w:cs="Times New Roman"/>
          <w:sz w:val="22"/>
          <w:szCs w:val="22"/>
        </w:rPr>
        <w:t>_________________</w:t>
      </w:r>
    </w:p>
    <w:p w:rsidR="006236DA" w:rsidRPr="00AF66E3" w:rsidRDefault="006236DA" w:rsidP="006236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</w:t>
      </w:r>
      <w:r w:rsidR="003D0F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Pr="00AF66E3">
        <w:rPr>
          <w:rFonts w:ascii="Times New Roman" w:hAnsi="Times New Roman" w:cs="Times New Roman"/>
          <w:sz w:val="22"/>
          <w:szCs w:val="22"/>
        </w:rPr>
        <w:t>.</w:t>
      </w:r>
    </w:p>
    <w:p w:rsidR="006236DA" w:rsidRPr="00AF66E3" w:rsidRDefault="006236DA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0FCF" w:rsidRDefault="003D0FCF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236DA" w:rsidRPr="00AF66E3" w:rsidRDefault="006236DA" w:rsidP="00623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        ______________       ______________________</w:t>
      </w:r>
    </w:p>
    <w:p w:rsidR="006236DA" w:rsidRPr="00AF66E3" w:rsidRDefault="006236DA" w:rsidP="003D0F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(должность спе</w:t>
      </w:r>
      <w:r w:rsidR="003D0FCF">
        <w:rPr>
          <w:rFonts w:ascii="Times New Roman" w:hAnsi="Times New Roman" w:cs="Times New Roman"/>
          <w:sz w:val="22"/>
          <w:szCs w:val="22"/>
        </w:rPr>
        <w:t xml:space="preserve">циалиста,            (подпись)              </w:t>
      </w:r>
      <w:r w:rsidRPr="00AF66E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3D0FCF" w:rsidRDefault="006236DA" w:rsidP="003D0F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ответственного за прием </w:t>
      </w:r>
    </w:p>
    <w:p w:rsidR="006236DA" w:rsidRPr="00AF66E3" w:rsidRDefault="006236DA" w:rsidP="003D0F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документов)</w:t>
      </w:r>
    </w:p>
    <w:p w:rsidR="006236DA" w:rsidRPr="00AF66E3" w:rsidRDefault="006236DA" w:rsidP="006236DA">
      <w:pPr>
        <w:rPr>
          <w:rFonts w:ascii="Times New Roman" w:hAnsi="Times New Roman" w:cs="Times New Roman"/>
        </w:rPr>
      </w:pPr>
    </w:p>
    <w:p w:rsidR="006236DA" w:rsidRPr="00AF66E3" w:rsidRDefault="006236DA" w:rsidP="006236DA">
      <w:pPr>
        <w:jc w:val="both"/>
        <w:rPr>
          <w:rFonts w:ascii="Times New Roman" w:hAnsi="Times New Roman" w:cs="Times New Roman"/>
        </w:rPr>
      </w:pPr>
    </w:p>
    <w:p w:rsidR="006D3843" w:rsidRDefault="006D3843"/>
    <w:sectPr w:rsidR="006D3843" w:rsidSect="00623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6A" w:rsidRDefault="0043506A" w:rsidP="006236DA">
      <w:pPr>
        <w:spacing w:after="0" w:line="240" w:lineRule="auto"/>
      </w:pPr>
      <w:r>
        <w:separator/>
      </w:r>
    </w:p>
  </w:endnote>
  <w:endnote w:type="continuationSeparator" w:id="0">
    <w:p w:rsidR="0043506A" w:rsidRDefault="0043506A" w:rsidP="0062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6A" w:rsidRDefault="0043506A" w:rsidP="006236DA">
      <w:pPr>
        <w:spacing w:after="0" w:line="240" w:lineRule="auto"/>
      </w:pPr>
      <w:r>
        <w:separator/>
      </w:r>
    </w:p>
  </w:footnote>
  <w:footnote w:type="continuationSeparator" w:id="0">
    <w:p w:rsidR="0043506A" w:rsidRDefault="0043506A" w:rsidP="006236DA">
      <w:pPr>
        <w:spacing w:after="0" w:line="240" w:lineRule="auto"/>
      </w:pPr>
      <w:r>
        <w:continuationSeparator/>
      </w:r>
    </w:p>
  </w:footnote>
  <w:footnote w:id="1">
    <w:p w:rsidR="00C1045E" w:rsidRDefault="00C1045E" w:rsidP="006236DA">
      <w:pPr>
        <w:pStyle w:val="ac"/>
      </w:pPr>
      <w:r>
        <w:rPr>
          <w:rStyle w:val="ae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C1045E" w:rsidRDefault="00C1045E" w:rsidP="006236DA">
      <w:pPr>
        <w:pStyle w:val="ac"/>
      </w:pPr>
      <w:r>
        <w:rPr>
          <w:rStyle w:val="ae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C1045E" w:rsidRDefault="00C1045E" w:rsidP="006236DA">
      <w:pPr>
        <w:pStyle w:val="ac"/>
      </w:pPr>
      <w:r>
        <w:rPr>
          <w:rStyle w:val="ae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C1045E" w:rsidRPr="00AF66E3" w:rsidRDefault="00C1045E" w:rsidP="006236DA">
      <w:pPr>
        <w:pStyle w:val="ac"/>
        <w:rPr>
          <w:rFonts w:ascii="Times New Roman" w:hAnsi="Times New Roman" w:cs="Times New Roman"/>
        </w:rPr>
      </w:pPr>
      <w:r w:rsidRPr="00AF66E3">
        <w:rPr>
          <w:rStyle w:val="ae"/>
          <w:rFonts w:ascii="Times New Roman" w:hAnsi="Times New Roman" w:cs="Times New Roman"/>
        </w:rPr>
        <w:footnoteRef/>
      </w:r>
      <w:r w:rsidRPr="00AF66E3">
        <w:rPr>
          <w:rFonts w:ascii="Times New Roman" w:hAnsi="Times New Roman" w:cs="Times New Roman"/>
        </w:rPr>
        <w:t xml:space="preserve"> Полный перечень установленных к документам требований, формы и образцы заявлений указываются органом, предоставляющим услугу</w:t>
      </w:r>
    </w:p>
  </w:footnote>
  <w:footnote w:id="5">
    <w:p w:rsidR="00C1045E" w:rsidRPr="005257FF" w:rsidRDefault="00C1045E" w:rsidP="006236DA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C1045E" w:rsidRDefault="00C1045E" w:rsidP="006236DA">
      <w:pPr>
        <w:pStyle w:val="ac"/>
      </w:pPr>
      <w:r>
        <w:rPr>
          <w:rStyle w:val="ae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1045E" w:rsidRDefault="00C1045E" w:rsidP="006236DA">
      <w:pPr>
        <w:pStyle w:val="ac"/>
      </w:pPr>
      <w:r>
        <w:rPr>
          <w:rStyle w:val="ae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  <w:footnote w:id="8">
    <w:p w:rsidR="00C1045E" w:rsidRDefault="00C1045E" w:rsidP="006236DA">
      <w:pPr>
        <w:pStyle w:val="ac"/>
      </w:pPr>
      <w:r>
        <w:rPr>
          <w:rStyle w:val="ae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38FF"/>
    <w:multiLevelType w:val="hybridMultilevel"/>
    <w:tmpl w:val="12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6DA"/>
    <w:rsid w:val="00112CED"/>
    <w:rsid w:val="001265BB"/>
    <w:rsid w:val="003D0FCF"/>
    <w:rsid w:val="0043506A"/>
    <w:rsid w:val="004D30D2"/>
    <w:rsid w:val="006236DA"/>
    <w:rsid w:val="006D3843"/>
    <w:rsid w:val="00A9670E"/>
    <w:rsid w:val="00C05CFD"/>
    <w:rsid w:val="00C1045E"/>
    <w:rsid w:val="00D20F3A"/>
    <w:rsid w:val="00E2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DA"/>
  </w:style>
  <w:style w:type="paragraph" w:styleId="1">
    <w:name w:val="heading 1"/>
    <w:basedOn w:val="a"/>
    <w:next w:val="a"/>
    <w:link w:val="10"/>
    <w:uiPriority w:val="9"/>
    <w:qFormat/>
    <w:rsid w:val="00623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2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6DA"/>
    <w:pPr>
      <w:ind w:left="720"/>
      <w:contextualSpacing/>
    </w:pPr>
  </w:style>
  <w:style w:type="paragraph" w:customStyle="1" w:styleId="ConsPlusNormal">
    <w:name w:val="ConsPlusNormal"/>
    <w:rsid w:val="00623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6236D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236DA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236DA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6236DA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6236D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623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23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236DA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6236DA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23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236DA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6236D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6236D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623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236DA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236DA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236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6236DA"/>
    <w:rPr>
      <w:color w:val="0000FF"/>
      <w:u w:val="single"/>
    </w:rPr>
  </w:style>
  <w:style w:type="paragraph" w:customStyle="1" w:styleId="a7">
    <w:name w:val="Обычный.Название подразделения"/>
    <w:rsid w:val="006236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6236D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6236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23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2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2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2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236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36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36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2016-12-27T15:50:00Z</cp:lastPrinted>
  <dcterms:created xsi:type="dcterms:W3CDTF">2016-12-08T06:00:00Z</dcterms:created>
  <dcterms:modified xsi:type="dcterms:W3CDTF">2016-12-27T15:52:00Z</dcterms:modified>
</cp:coreProperties>
</file>